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D23B65" w14:textId="77777777" w:rsidR="00960CE5" w:rsidRPr="00C75C27" w:rsidRDefault="00960CE5">
      <w:pPr>
        <w:rPr>
          <w:color w:val="000000" w:themeColor="text1"/>
        </w:rPr>
      </w:pPr>
    </w:p>
    <w:p w14:paraId="5CCF67AB" w14:textId="18DD696B" w:rsidR="00C75C27" w:rsidRPr="00C75C27" w:rsidRDefault="00C75C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  <w:b/>
          <w:bCs/>
          <w:color w:val="000000" w:themeColor="text1"/>
        </w:rPr>
      </w:pPr>
      <w:r w:rsidRPr="00C75C27">
        <w:rPr>
          <w:rFonts w:ascii="IBM Plex Sans" w:eastAsia="IBM Plex Sans" w:hAnsi="IBM Plex Sans" w:cs="IBM Plex Sans"/>
          <w:b/>
          <w:bCs/>
          <w:color w:val="000000" w:themeColor="text1"/>
        </w:rPr>
        <w:t>Accessibilità fisica: scheda tecnica</w:t>
      </w:r>
    </w:p>
    <w:p w14:paraId="0F6F5B3C" w14:textId="77777777" w:rsidR="00C75C27" w:rsidRPr="00C75C27" w:rsidRDefault="00C75C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  <w:b/>
          <w:bCs/>
          <w:color w:val="000000" w:themeColor="text1"/>
        </w:rPr>
      </w:pPr>
    </w:p>
    <w:p w14:paraId="0B0B17E6" w14:textId="77777777" w:rsidR="00C75C27" w:rsidRPr="00C75C2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  <w:b/>
          <w:bCs/>
          <w:color w:val="000000" w:themeColor="text1"/>
        </w:rPr>
      </w:pPr>
      <w:r w:rsidRPr="00C75C27">
        <w:rPr>
          <w:rFonts w:ascii="IBM Plex Sans" w:eastAsia="IBM Plex Sans" w:hAnsi="IBM Plex Sans" w:cs="IBM Plex Sans"/>
          <w:b/>
          <w:bCs/>
          <w:color w:val="000000" w:themeColor="text1"/>
        </w:rPr>
        <w:t>Parcheggio</w:t>
      </w:r>
    </w:p>
    <w:p w14:paraId="6CDBBEC1" w14:textId="77777777" w:rsidR="00C75C27" w:rsidRPr="00C75C27" w:rsidRDefault="00000000" w:rsidP="00C75C27">
      <w:pPr>
        <w:pStyle w:val="Paragrafoelenco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  <w:color w:val="000000" w:themeColor="text1"/>
        </w:rPr>
      </w:pPr>
      <w:r w:rsidRPr="00C75C27">
        <w:rPr>
          <w:rFonts w:ascii="IBM Plex Sans" w:eastAsia="IBM Plex Sans" w:hAnsi="IBM Plex Sans" w:cs="IBM Plex Sans"/>
          <w:color w:val="000000" w:themeColor="text1"/>
        </w:rPr>
        <w:t>il museo è dotato di un ampio parcheggio, con due posti riservati per persone con disabilità, ed è raggiungibile da una strada che parte da Via Flaminia e costeggia l’area del Museo;</w:t>
      </w:r>
    </w:p>
    <w:p w14:paraId="09610CA0" w14:textId="77777777" w:rsidR="00C75C27" w:rsidRPr="00C75C27" w:rsidRDefault="00000000" w:rsidP="00C75C27">
      <w:pPr>
        <w:pStyle w:val="Paragrafoelenco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  <w:color w:val="000000" w:themeColor="text1"/>
        </w:rPr>
      </w:pPr>
      <w:r w:rsidRPr="00C75C27">
        <w:rPr>
          <w:rFonts w:ascii="IBM Plex Sans" w:eastAsia="IBM Plex Sans" w:hAnsi="IBM Plex Sans" w:cs="IBM Plex Sans"/>
          <w:color w:val="000000" w:themeColor="text1"/>
        </w:rPr>
        <w:t>il parcheggio è gratuito per chi visita il museo con auto dotata di contrassegno previa validazione del voucher da effettuarsi in biglietteria o nel padiglione espositivo;</w:t>
      </w:r>
    </w:p>
    <w:p w14:paraId="483D417F" w14:textId="46E2E467" w:rsidR="00960CE5" w:rsidRPr="00C75C27" w:rsidRDefault="00000000" w:rsidP="00C75C27">
      <w:pPr>
        <w:pStyle w:val="Paragrafoelenco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  <w:color w:val="000000" w:themeColor="text1"/>
        </w:rPr>
      </w:pPr>
      <w:r w:rsidRPr="00C75C27">
        <w:rPr>
          <w:rFonts w:ascii="IBM Plex Sans" w:eastAsia="IBM Plex Sans" w:hAnsi="IBM Plex Sans" w:cs="IBM Plex Sans"/>
          <w:color w:val="000000" w:themeColor="text1"/>
        </w:rPr>
        <w:t>i due posti auto riservati sono contigui all’area giochi e distano circa 100 metri dalla porta di uscita ed entrata della biglietteria, dei quali circa la metà in piano e su fondo antiscivolo, complanare.</w:t>
      </w:r>
    </w:p>
    <w:p w14:paraId="46830C43" w14:textId="77777777" w:rsidR="00C75C27" w:rsidRPr="00C75C27" w:rsidRDefault="00000000" w:rsidP="00C75C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  <w:color w:val="000000" w:themeColor="text1"/>
        </w:rPr>
      </w:pPr>
      <w:r w:rsidRPr="00C75C27">
        <w:rPr>
          <w:rFonts w:ascii="IBM Plex Sans" w:eastAsia="IBM Plex Sans" w:hAnsi="IBM Plex Sans" w:cs="IBM Plex Sans"/>
          <w:color w:val="000000" w:themeColor="text1"/>
        </w:rPr>
        <w:t>Distano, inoltre, circa 70 metri dalla porta del padiglione, attraverso un percorso che per i primi 50 metri corrisponde allo stesso percorso che conduce alla biglietteria (pertanto complanare e in piano) e per gli ulteriori 20 metri è in piano su cemento;</w:t>
      </w:r>
    </w:p>
    <w:p w14:paraId="6A056A7C" w14:textId="77777777" w:rsidR="00C75C27" w:rsidRPr="00C75C27" w:rsidRDefault="00C75C27" w:rsidP="00C75C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  <w:color w:val="000000" w:themeColor="text1"/>
        </w:rPr>
      </w:pPr>
    </w:p>
    <w:p w14:paraId="4E737D8E" w14:textId="77777777" w:rsidR="00C75C27" w:rsidRPr="00C75C27" w:rsidRDefault="00000000" w:rsidP="00C75C27">
      <w:pPr>
        <w:pStyle w:val="Paragrafoelenco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  <w:color w:val="000000" w:themeColor="text1"/>
        </w:rPr>
      </w:pPr>
      <w:r w:rsidRPr="00C75C27">
        <w:rPr>
          <w:rFonts w:ascii="IBM Plex Sans" w:eastAsia="IBM Plex Sans" w:hAnsi="IBM Plex Sans" w:cs="IBM Plex Sans"/>
          <w:color w:val="000000" w:themeColor="text1"/>
        </w:rPr>
        <w:t>il fondo dell’area di parcheggio, in corrispondenza dei posti auto riservati, è complanare.</w:t>
      </w:r>
    </w:p>
    <w:p w14:paraId="24C9FB82" w14:textId="77777777" w:rsidR="00C75C27" w:rsidRPr="00C75C27" w:rsidRDefault="00C75C27" w:rsidP="00C75C27">
      <w:pPr>
        <w:pStyle w:val="Paragrafoelenc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  <w:color w:val="000000" w:themeColor="text1"/>
        </w:rPr>
      </w:pPr>
    </w:p>
    <w:p w14:paraId="0357EB25" w14:textId="77777777" w:rsidR="00C75C27" w:rsidRPr="00C75C27" w:rsidRDefault="00C75C27" w:rsidP="00C75C27">
      <w:pPr>
        <w:pStyle w:val="Paragrafoelenc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  <w:color w:val="000000" w:themeColor="text1"/>
        </w:rPr>
      </w:pPr>
    </w:p>
    <w:p w14:paraId="06FBF72A" w14:textId="77777777" w:rsidR="00C75C27" w:rsidRPr="00C75C27" w:rsidRDefault="00000000" w:rsidP="00C75C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  <w:b/>
          <w:bCs/>
          <w:color w:val="000000" w:themeColor="text1"/>
        </w:rPr>
      </w:pPr>
      <w:r w:rsidRPr="00C75C27">
        <w:rPr>
          <w:rFonts w:ascii="IBM Plex Sans" w:eastAsia="IBM Plex Sans" w:hAnsi="IBM Plex Sans" w:cs="IBM Plex Sans"/>
          <w:b/>
          <w:bCs/>
          <w:color w:val="000000" w:themeColor="text1"/>
        </w:rPr>
        <w:t>Struttura</w:t>
      </w:r>
      <w:r w:rsidRPr="00C75C27">
        <w:rPr>
          <w:rFonts w:ascii="IBM Plex Sans" w:eastAsia="IBM Plex Sans" w:hAnsi="IBM Plex Sans" w:cs="IBM Plex Sans"/>
          <w:color w:val="000000" w:themeColor="text1"/>
        </w:rPr>
        <w:t xml:space="preserve"> </w:t>
      </w:r>
      <w:r w:rsidRPr="00C75C27">
        <w:rPr>
          <w:rFonts w:ascii="IBM Plex Sans" w:eastAsia="IBM Plex Sans" w:hAnsi="IBM Plex Sans" w:cs="IBM Plex Sans"/>
          <w:b/>
          <w:bCs/>
          <w:color w:val="000000" w:themeColor="text1"/>
        </w:rPr>
        <w:t>e percorsi di accesso</w:t>
      </w:r>
    </w:p>
    <w:p w14:paraId="3C012CFC" w14:textId="77777777" w:rsidR="00C75C27" w:rsidRPr="00C75C27" w:rsidRDefault="00C75C27" w:rsidP="00C75C27">
      <w:pPr>
        <w:pStyle w:val="Paragrafoelenco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  <w:color w:val="000000" w:themeColor="text1"/>
        </w:rPr>
      </w:pPr>
      <w:r w:rsidRPr="00C75C27">
        <w:rPr>
          <w:rFonts w:ascii="IBM Plex Sans" w:eastAsia="IBM Plex Sans" w:hAnsi="IBM Plex Sans" w:cs="IBM Plex Sans"/>
          <w:color w:val="000000" w:themeColor="text1"/>
        </w:rPr>
        <w:t xml:space="preserve">il </w:t>
      </w:r>
      <w:r w:rsidR="00000000" w:rsidRPr="00C75C27">
        <w:rPr>
          <w:rFonts w:ascii="IBM Plex Sans" w:eastAsia="IBM Plex Sans" w:hAnsi="IBM Plex Sans" w:cs="IBM Plex Sans"/>
          <w:color w:val="000000" w:themeColor="text1"/>
        </w:rPr>
        <w:t>museo è composto da:</w:t>
      </w:r>
    </w:p>
    <w:p w14:paraId="6700CB00" w14:textId="77777777" w:rsidR="00C75C27" w:rsidRPr="00C75C27" w:rsidRDefault="00000000" w:rsidP="00C75C27">
      <w:pPr>
        <w:pStyle w:val="Paragrafoelenco"/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  <w:color w:val="000000" w:themeColor="text1"/>
        </w:rPr>
      </w:pPr>
      <w:r w:rsidRPr="00C75C27">
        <w:rPr>
          <w:rFonts w:ascii="IBM Plex Sans" w:eastAsia="IBM Plex Sans" w:hAnsi="IBM Plex Sans" w:cs="IBM Plex Sans"/>
          <w:color w:val="000000" w:themeColor="text1"/>
        </w:rPr>
        <w:t>1 edificio su due livelli collegati da scala interna o da due differenti percorsi esterni che ospita biglietteria, bookshop, servizio igienico, bar e ristorante;</w:t>
      </w:r>
    </w:p>
    <w:p w14:paraId="0D4290A6" w14:textId="77777777" w:rsidR="00C75C27" w:rsidRPr="00C75C27" w:rsidRDefault="00000000" w:rsidP="00C75C27">
      <w:pPr>
        <w:pStyle w:val="Paragrafoelenco"/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  <w:color w:val="000000" w:themeColor="text1"/>
        </w:rPr>
      </w:pPr>
      <w:r w:rsidRPr="00C75C27">
        <w:rPr>
          <w:rFonts w:ascii="IBM Plex Sans" w:eastAsia="IBM Plex Sans" w:hAnsi="IBM Plex Sans" w:cs="IBM Plex Sans"/>
          <w:color w:val="000000" w:themeColor="text1"/>
        </w:rPr>
        <w:t>1 padiglione espositivo anch’esso su due livelli collegati da una rampa inclinata elicoidale;</w:t>
      </w:r>
    </w:p>
    <w:p w14:paraId="088F88D5" w14:textId="77777777" w:rsidR="00C75C27" w:rsidRPr="00C75C27" w:rsidRDefault="00C75C27" w:rsidP="00C75C27">
      <w:pPr>
        <w:pStyle w:val="Paragrafoelenc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ind w:left="1440"/>
        <w:rPr>
          <w:rFonts w:ascii="IBM Plex Sans" w:eastAsia="IBM Plex Sans" w:hAnsi="IBM Plex Sans" w:cs="IBM Plex Sans"/>
          <w:color w:val="000000" w:themeColor="text1"/>
        </w:rPr>
      </w:pPr>
    </w:p>
    <w:p w14:paraId="1120A377" w14:textId="282679E4" w:rsidR="00C75C27" w:rsidRPr="00C75C27" w:rsidRDefault="00000000" w:rsidP="00C75C27">
      <w:pPr>
        <w:pStyle w:val="Paragrafoelenco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  <w:color w:val="000000" w:themeColor="text1"/>
        </w:rPr>
      </w:pPr>
      <w:r w:rsidRPr="00C75C27">
        <w:rPr>
          <w:rFonts w:ascii="IBM Plex Sans" w:eastAsia="IBM Plex Sans" w:hAnsi="IBM Plex Sans" w:cs="IBM Plex Sans"/>
          <w:color w:val="000000" w:themeColor="text1"/>
        </w:rPr>
        <w:t>la porta di ingresso automatica a vetri di Via Flaminia 82 è larga 160 centimetri e immette direttamente nella biglietteria del Museo;</w:t>
      </w:r>
    </w:p>
    <w:p w14:paraId="50D3BEF3" w14:textId="77777777" w:rsidR="00C75C27" w:rsidRPr="00C75C27" w:rsidRDefault="00000000" w:rsidP="00C75C27">
      <w:pPr>
        <w:pStyle w:val="Paragrafoelenco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  <w:color w:val="000000" w:themeColor="text1"/>
        </w:rPr>
      </w:pPr>
      <w:r w:rsidRPr="00C75C27">
        <w:rPr>
          <w:rFonts w:ascii="IBM Plex Sans" w:eastAsia="IBM Plex Sans" w:hAnsi="IBM Plex Sans" w:cs="IBM Plex Sans"/>
          <w:color w:val="000000" w:themeColor="text1"/>
        </w:rPr>
        <w:t>il bancone della biglietteria è alto 80 centimetri;</w:t>
      </w:r>
    </w:p>
    <w:p w14:paraId="58A2A677" w14:textId="77777777" w:rsidR="00C75C27" w:rsidRPr="00C75C27" w:rsidRDefault="00000000" w:rsidP="00C75C27">
      <w:pPr>
        <w:pStyle w:val="Paragrafoelenco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  <w:color w:val="000000" w:themeColor="text1"/>
        </w:rPr>
      </w:pPr>
      <w:r w:rsidRPr="00C75C27">
        <w:rPr>
          <w:rFonts w:ascii="IBM Plex Sans" w:eastAsia="IBM Plex Sans" w:hAnsi="IBM Plex Sans" w:cs="IBM Plex Sans"/>
          <w:color w:val="000000" w:themeColor="text1"/>
        </w:rPr>
        <w:lastRenderedPageBreak/>
        <w:t xml:space="preserve">accanto alla biglietteria, una scala di </w:t>
      </w:r>
      <w:proofErr w:type="gramStart"/>
      <w:r w:rsidRPr="00C75C27">
        <w:rPr>
          <w:rFonts w:ascii="IBM Plex Sans" w:eastAsia="IBM Plex Sans" w:hAnsi="IBM Plex Sans" w:cs="IBM Plex Sans"/>
          <w:color w:val="000000" w:themeColor="text1"/>
        </w:rPr>
        <w:t>9</w:t>
      </w:r>
      <w:proofErr w:type="gramEnd"/>
      <w:r w:rsidRPr="00C75C27">
        <w:rPr>
          <w:rFonts w:ascii="IBM Plex Sans" w:eastAsia="IBM Plex Sans" w:hAnsi="IBM Plex Sans" w:cs="IBM Plex Sans"/>
          <w:color w:val="000000" w:themeColor="text1"/>
        </w:rPr>
        <w:t xml:space="preserve"> gradini conduce al bookshop, posto al secondo livello dell’edificio. Si può accedere al bookshop anche dall’esterno, sul retro dell’edificio a circa 25 metri, attraverso una porta preceduta da un gradino;</w:t>
      </w:r>
    </w:p>
    <w:p w14:paraId="3BBDD322" w14:textId="77777777" w:rsidR="00C75C27" w:rsidRPr="00C75C27" w:rsidRDefault="00C75C27" w:rsidP="00C75C27">
      <w:pPr>
        <w:pStyle w:val="Paragrafoelenc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  <w:color w:val="000000" w:themeColor="text1"/>
        </w:rPr>
      </w:pPr>
    </w:p>
    <w:p w14:paraId="476D1B05" w14:textId="77777777" w:rsidR="00C75C27" w:rsidRPr="00C75C27" w:rsidRDefault="00000000" w:rsidP="00C75C27">
      <w:pPr>
        <w:pStyle w:val="Paragrafoelenco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  <w:color w:val="000000" w:themeColor="text1"/>
        </w:rPr>
      </w:pPr>
      <w:r w:rsidRPr="00C75C27">
        <w:rPr>
          <w:rFonts w:ascii="IBM Plex Sans" w:eastAsia="IBM Plex Sans" w:hAnsi="IBM Plex Sans" w:cs="IBM Plex Sans"/>
          <w:color w:val="000000" w:themeColor="text1"/>
        </w:rPr>
        <w:t>dalla hall si può uscire attraverso:</w:t>
      </w:r>
    </w:p>
    <w:p w14:paraId="382400B3" w14:textId="77777777" w:rsidR="00C75C27" w:rsidRPr="00C75C27" w:rsidRDefault="00C75C27" w:rsidP="00C75C27">
      <w:pPr>
        <w:pStyle w:val="Paragrafoelenc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  <w:color w:val="000000" w:themeColor="text1"/>
        </w:rPr>
      </w:pPr>
    </w:p>
    <w:p w14:paraId="382C5E45" w14:textId="77777777" w:rsidR="00C75C27" w:rsidRPr="00C75C27" w:rsidRDefault="00000000" w:rsidP="00C75C27">
      <w:pPr>
        <w:pStyle w:val="Paragrafoelenco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  <w:color w:val="000000" w:themeColor="text1"/>
        </w:rPr>
      </w:pPr>
      <w:r w:rsidRPr="00C75C27">
        <w:rPr>
          <w:rFonts w:ascii="IBM Plex Sans" w:eastAsia="IBM Plex Sans" w:hAnsi="IBM Plex Sans" w:cs="IBM Plex Sans"/>
          <w:color w:val="000000" w:themeColor="text1"/>
        </w:rPr>
        <w:t xml:space="preserve">una porta automatica a vetri dopo la quale è presente una rampa di </w:t>
      </w:r>
      <w:proofErr w:type="gramStart"/>
      <w:r w:rsidRPr="00C75C27">
        <w:rPr>
          <w:rFonts w:ascii="IBM Plex Sans" w:eastAsia="IBM Plex Sans" w:hAnsi="IBM Plex Sans" w:cs="IBM Plex Sans"/>
          <w:color w:val="000000" w:themeColor="text1"/>
        </w:rPr>
        <w:t>6</w:t>
      </w:r>
      <w:proofErr w:type="gramEnd"/>
      <w:r w:rsidRPr="00C75C27">
        <w:rPr>
          <w:rFonts w:ascii="IBM Plex Sans" w:eastAsia="IBM Plex Sans" w:hAnsi="IBM Plex Sans" w:cs="IBM Plex Sans"/>
          <w:color w:val="000000" w:themeColor="text1"/>
        </w:rPr>
        <w:t xml:space="preserve"> gradini;</w:t>
      </w:r>
    </w:p>
    <w:p w14:paraId="7B7F731F" w14:textId="77777777" w:rsidR="00C75C27" w:rsidRPr="00C75C27" w:rsidRDefault="00000000" w:rsidP="00C75C27">
      <w:pPr>
        <w:pStyle w:val="Paragrafoelenco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  <w:color w:val="000000" w:themeColor="text1"/>
        </w:rPr>
      </w:pPr>
      <w:r w:rsidRPr="00C75C27">
        <w:rPr>
          <w:rFonts w:ascii="IBM Plex Sans" w:eastAsia="IBM Plex Sans" w:hAnsi="IBM Plex Sans" w:cs="IBM Plex Sans"/>
          <w:color w:val="000000" w:themeColor="text1"/>
        </w:rPr>
        <w:t>una porta manuale a un’anta larga di 110 centimetri preceduta da una rampa inclinata in due tratti con fondo antiscivolo;</w:t>
      </w:r>
    </w:p>
    <w:p w14:paraId="3F44DAB9" w14:textId="22F71222" w:rsidR="00960CE5" w:rsidRPr="00C75C27" w:rsidRDefault="00000000" w:rsidP="00C75C27">
      <w:pPr>
        <w:pStyle w:val="Paragrafoelenco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  <w:color w:val="000000" w:themeColor="text1"/>
        </w:rPr>
      </w:pPr>
      <w:r w:rsidRPr="00C75C27">
        <w:rPr>
          <w:rFonts w:ascii="IBM Plex Sans" w:eastAsia="IBM Plex Sans" w:hAnsi="IBM Plex Sans" w:cs="IBM Plex Sans"/>
          <w:color w:val="000000" w:themeColor="text1"/>
        </w:rPr>
        <w:t>l’area esterna che collega l’edificio con il padiglione ha una pavimentazione in sampietrini ed è per lo più in pendenza;</w:t>
      </w:r>
    </w:p>
    <w:p w14:paraId="4F87C366" w14:textId="77777777" w:rsidR="00960CE5" w:rsidRPr="00C75C27" w:rsidRDefault="00960CE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ind w:left="720"/>
        <w:rPr>
          <w:rFonts w:ascii="IBM Plex Sans" w:eastAsia="IBM Plex Sans" w:hAnsi="IBM Plex Sans" w:cs="IBM Plex Sans"/>
          <w:color w:val="000000" w:themeColor="text1"/>
        </w:rPr>
      </w:pPr>
    </w:p>
    <w:p w14:paraId="2DC9A9B1" w14:textId="0D0E3E94" w:rsidR="00C75C27" w:rsidRPr="00C75C27" w:rsidRDefault="00000000" w:rsidP="00C75C27">
      <w:pPr>
        <w:pStyle w:val="Paragrafoelenco"/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48" w:lineRule="auto"/>
        <w:rPr>
          <w:rFonts w:ascii="IBM Plex Sans" w:eastAsia="IBM Plex Sans" w:hAnsi="IBM Plex Sans" w:cs="IBM Plex Sans"/>
          <w:color w:val="000000" w:themeColor="text1"/>
        </w:rPr>
      </w:pPr>
      <w:r w:rsidRPr="00C75C27">
        <w:rPr>
          <w:rFonts w:ascii="IBM Plex Sans" w:eastAsia="IBM Plex Sans" w:hAnsi="IBM Plex Sans" w:cs="IBM Plex Sans"/>
          <w:color w:val="000000" w:themeColor="text1"/>
        </w:rPr>
        <w:t>uscendo dalla porta della biglietteria preceduta dalla rampa, costeggiando l’edificio per circa 20 metri, con pendenza massima intorno al 10%, si arriva all’angolo col retro dell’edificio dove, dopo un’area in piano, si trova la porta di accesso del bookshop (al livello superiore dell’edificio);</w:t>
      </w:r>
    </w:p>
    <w:p w14:paraId="4D417DFF" w14:textId="14245798" w:rsidR="00960CE5" w:rsidRPr="00C75C27" w:rsidRDefault="00000000" w:rsidP="00C75C27">
      <w:pPr>
        <w:pStyle w:val="Paragrafoelenco"/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348" w:lineRule="auto"/>
        <w:rPr>
          <w:rFonts w:ascii="IBM Plex Sans" w:eastAsia="IBM Plex Sans" w:hAnsi="IBM Plex Sans" w:cs="IBM Plex Sans"/>
          <w:color w:val="000000" w:themeColor="text1"/>
        </w:rPr>
      </w:pPr>
      <w:r w:rsidRPr="00C75C27">
        <w:rPr>
          <w:rFonts w:ascii="IBM Plex Sans" w:eastAsia="IBM Plex Sans" w:hAnsi="IBM Plex Sans" w:cs="IBM Plex Sans"/>
          <w:color w:val="000000" w:themeColor="text1"/>
        </w:rPr>
        <w:t>proseguendo dall’angolo dell’edificio verso il padiglione, dopo ulteriori 10 metri si incontra una</w:t>
      </w:r>
      <w:r w:rsidR="00C75C27" w:rsidRPr="00C75C27">
        <w:rPr>
          <w:rFonts w:ascii="IBM Plex Sans" w:eastAsia="IBM Plex Sans" w:hAnsi="IBM Plex Sans" w:cs="IBM Plex Sans"/>
          <w:color w:val="000000" w:themeColor="text1"/>
        </w:rPr>
        <w:t xml:space="preserve"> </w:t>
      </w:r>
      <w:r w:rsidRPr="00C75C27">
        <w:rPr>
          <w:rFonts w:ascii="IBM Plex Sans" w:eastAsia="IBM Plex Sans" w:hAnsi="IBM Plex Sans" w:cs="IBM Plex Sans"/>
          <w:color w:val="000000" w:themeColor="text1"/>
        </w:rPr>
        <w:t>rampa di 7 gradoni (per una lunghezza totale di 8,5 metri circa), che arriva davanti all’entrata del</w:t>
      </w:r>
      <w:r w:rsidR="00C75C27" w:rsidRPr="00C75C27">
        <w:rPr>
          <w:rFonts w:ascii="IBM Plex Sans" w:eastAsia="IBM Plex Sans" w:hAnsi="IBM Plex Sans" w:cs="IBM Plex Sans"/>
          <w:color w:val="000000" w:themeColor="text1"/>
        </w:rPr>
        <w:t xml:space="preserve"> </w:t>
      </w:r>
      <w:r w:rsidRPr="00C75C27">
        <w:rPr>
          <w:rFonts w:ascii="IBM Plex Sans" w:eastAsia="IBM Plex Sans" w:hAnsi="IBM Plex Sans" w:cs="IBM Plex Sans"/>
          <w:color w:val="000000" w:themeColor="text1"/>
        </w:rPr>
        <w:t>padiglione;</w:t>
      </w:r>
    </w:p>
    <w:p w14:paraId="55F50130" w14:textId="77777777" w:rsidR="00C75C27" w:rsidRPr="00C75C27" w:rsidRDefault="00000000" w:rsidP="00C75C27">
      <w:pPr>
        <w:pStyle w:val="Paragrafoelenco"/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348" w:lineRule="auto"/>
        <w:rPr>
          <w:rFonts w:ascii="IBM Plex Sans" w:eastAsia="IBM Plex Sans" w:hAnsi="IBM Plex Sans" w:cs="IBM Plex Sans"/>
          <w:color w:val="000000" w:themeColor="text1"/>
        </w:rPr>
      </w:pPr>
      <w:r w:rsidRPr="00C75C27">
        <w:rPr>
          <w:rFonts w:ascii="IBM Plex Sans" w:eastAsia="IBM Plex Sans" w:hAnsi="IBM Plex Sans" w:cs="IBM Plex Sans"/>
          <w:color w:val="000000" w:themeColor="text1"/>
        </w:rPr>
        <w:t>per evitare gradini, bisogna costeggiare l’edificio della hall e poi seguire un vialetto, che raggiunge il 12% di</w:t>
      </w:r>
      <w:r w:rsidRPr="00C75C27">
        <w:rPr>
          <w:rFonts w:ascii="IBM Plex Sans" w:eastAsia="IBM Plex Sans" w:hAnsi="IBM Plex Sans" w:cs="IBM Plex Sans"/>
          <w:color w:val="000000" w:themeColor="text1"/>
        </w:rPr>
        <w:br/>
        <w:t>pendenza, fino all’area del padiglione;</w:t>
      </w:r>
    </w:p>
    <w:p w14:paraId="58A5ADA0" w14:textId="333B807B" w:rsidR="00960CE5" w:rsidRPr="00C75C27" w:rsidRDefault="00000000" w:rsidP="00C75C27">
      <w:pPr>
        <w:pStyle w:val="Paragrafoelenco"/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348" w:lineRule="auto"/>
        <w:rPr>
          <w:rFonts w:ascii="IBM Plex Sans" w:eastAsia="IBM Plex Sans" w:hAnsi="IBM Plex Sans" w:cs="IBM Plex Sans"/>
          <w:color w:val="000000" w:themeColor="text1"/>
        </w:rPr>
      </w:pPr>
      <w:r w:rsidRPr="00C75C27">
        <w:rPr>
          <w:rFonts w:ascii="IBM Plex Sans" w:eastAsia="IBM Plex Sans" w:hAnsi="IBM Plex Sans" w:cs="IBM Plex Sans"/>
          <w:color w:val="000000" w:themeColor="text1"/>
        </w:rPr>
        <w:t>il percorso totale tra porta di uscita della biglietteria e porta di accesso del padiglione è di circa 70 metri</w:t>
      </w:r>
      <w:r w:rsidRPr="00C75C27">
        <w:rPr>
          <w:rFonts w:ascii="IBM Plex Sans" w:eastAsia="IBM Plex Sans" w:hAnsi="IBM Plex Sans" w:cs="IBM Plex Sans"/>
          <w:color w:val="000000" w:themeColor="text1"/>
        </w:rPr>
        <w:br/>
        <w:t>(dei quali gli ultimi 20 metri circa in piano e su fondo in cemento, complanare).</w:t>
      </w:r>
    </w:p>
    <w:p w14:paraId="032BCAB3" w14:textId="77777777" w:rsidR="00C75C27" w:rsidRPr="00C75C2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348" w:lineRule="auto"/>
        <w:rPr>
          <w:rFonts w:ascii="IBM Plex Sans" w:eastAsia="IBM Plex Sans" w:hAnsi="IBM Plex Sans" w:cs="IBM Plex Sans"/>
          <w:b/>
          <w:bCs/>
          <w:color w:val="000000" w:themeColor="text1"/>
        </w:rPr>
      </w:pPr>
      <w:r w:rsidRPr="00C75C27">
        <w:rPr>
          <w:rFonts w:ascii="IBM Plex Sans" w:eastAsia="IBM Plex Sans" w:hAnsi="IBM Plex Sans" w:cs="IBM Plex Sans"/>
          <w:b/>
          <w:bCs/>
          <w:color w:val="000000" w:themeColor="text1"/>
        </w:rPr>
        <w:t>L’area gioco</w:t>
      </w:r>
    </w:p>
    <w:p w14:paraId="6702B774" w14:textId="74312BA7" w:rsidR="00960CE5" w:rsidRPr="00C75C27" w:rsidRDefault="00000000" w:rsidP="00C75C27">
      <w:pPr>
        <w:pStyle w:val="Paragrafoelenco"/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348" w:lineRule="auto"/>
        <w:rPr>
          <w:rFonts w:ascii="IBM Plex Sans" w:eastAsia="IBM Plex Sans" w:hAnsi="IBM Plex Sans" w:cs="IBM Plex Sans"/>
          <w:color w:val="000000" w:themeColor="text1"/>
        </w:rPr>
      </w:pPr>
      <w:r w:rsidRPr="00C75C27">
        <w:rPr>
          <w:rFonts w:ascii="IBM Plex Sans" w:eastAsia="IBM Plex Sans" w:hAnsi="IBM Plex Sans" w:cs="IBM Plex Sans"/>
          <w:color w:val="000000" w:themeColor="text1"/>
        </w:rPr>
        <w:t>l’area esterna che costeggia il padiglione è adibita ad area gioco gratuita: è pianeggiante e la</w:t>
      </w:r>
      <w:r w:rsidR="00C75C27" w:rsidRPr="00C75C27">
        <w:rPr>
          <w:rFonts w:ascii="IBM Plex Sans" w:eastAsia="IBM Plex Sans" w:hAnsi="IBM Plex Sans" w:cs="IBM Plex Sans"/>
          <w:color w:val="000000" w:themeColor="text1"/>
        </w:rPr>
        <w:t xml:space="preserve"> </w:t>
      </w:r>
      <w:r w:rsidRPr="00C75C27">
        <w:rPr>
          <w:rFonts w:ascii="IBM Plex Sans" w:eastAsia="IBM Plex Sans" w:hAnsi="IBM Plex Sans" w:cs="IBM Plex Sans"/>
          <w:color w:val="000000" w:themeColor="text1"/>
        </w:rPr>
        <w:t xml:space="preserve">pavimentazione, complanare, è in gomma </w:t>
      </w:r>
      <w:r w:rsidR="00C75C27" w:rsidRPr="00C75C27">
        <w:rPr>
          <w:rFonts w:ascii="IBM Plex Sans" w:eastAsia="IBM Plex Sans" w:hAnsi="IBM Plex Sans" w:cs="IBM Plex Sans"/>
          <w:color w:val="000000" w:themeColor="text1"/>
        </w:rPr>
        <w:t>antitrauma</w:t>
      </w:r>
      <w:r w:rsidRPr="00C75C27">
        <w:rPr>
          <w:rFonts w:ascii="IBM Plex Sans" w:eastAsia="IBM Plex Sans" w:hAnsi="IBM Plex Sans" w:cs="IBM Plex Sans"/>
          <w:color w:val="000000" w:themeColor="text1"/>
        </w:rPr>
        <w:t xml:space="preserve"> nell’area </w:t>
      </w:r>
      <w:r w:rsidRPr="00C75C27">
        <w:rPr>
          <w:rFonts w:ascii="IBM Plex Sans" w:eastAsia="IBM Plex Sans" w:hAnsi="IBM Plex Sans" w:cs="IBM Plex Sans"/>
          <w:color w:val="000000" w:themeColor="text1"/>
        </w:rPr>
        <w:lastRenderedPageBreak/>
        <w:t>dei giochi e in ghiaia fissata nell’area di</w:t>
      </w:r>
      <w:r w:rsidR="00C75C27" w:rsidRPr="00C75C27">
        <w:rPr>
          <w:rFonts w:ascii="IBM Plex Sans" w:eastAsia="IBM Plex Sans" w:hAnsi="IBM Plex Sans" w:cs="IBM Plex Sans"/>
          <w:color w:val="000000" w:themeColor="text1"/>
        </w:rPr>
        <w:t xml:space="preserve"> </w:t>
      </w:r>
      <w:r w:rsidRPr="00C75C27">
        <w:rPr>
          <w:rFonts w:ascii="IBM Plex Sans" w:eastAsia="IBM Plex Sans" w:hAnsi="IBM Plex Sans" w:cs="IBM Plex Sans"/>
          <w:color w:val="000000" w:themeColor="text1"/>
        </w:rPr>
        <w:t>passaggio che arriva fino all’area del parcheggio. È presente un gioco dotato di rampa inclinata.</w:t>
      </w:r>
    </w:p>
    <w:p w14:paraId="2BC6B19B" w14:textId="77777777" w:rsidR="00C75C27" w:rsidRPr="00C75C2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348" w:lineRule="auto"/>
        <w:rPr>
          <w:rFonts w:ascii="IBM Plex Sans" w:eastAsia="IBM Plex Sans" w:hAnsi="IBM Plex Sans" w:cs="IBM Plex Sans"/>
          <w:b/>
          <w:bCs/>
          <w:color w:val="000000" w:themeColor="text1"/>
        </w:rPr>
      </w:pPr>
      <w:r w:rsidRPr="00C75C27">
        <w:rPr>
          <w:rFonts w:ascii="IBM Plex Sans" w:eastAsia="IBM Plex Sans" w:hAnsi="IBM Plex Sans" w:cs="IBM Plex Sans"/>
          <w:b/>
          <w:bCs/>
          <w:color w:val="000000" w:themeColor="text1"/>
        </w:rPr>
        <w:t>Il padiglione espositivo</w:t>
      </w:r>
    </w:p>
    <w:p w14:paraId="326F629F" w14:textId="77777777" w:rsidR="00C75C27" w:rsidRPr="00C75C27" w:rsidRDefault="00000000" w:rsidP="00C75C27">
      <w:pPr>
        <w:pStyle w:val="Paragrafoelenco"/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348" w:lineRule="auto"/>
        <w:rPr>
          <w:rFonts w:ascii="IBM Plex Sans" w:eastAsia="IBM Plex Sans" w:hAnsi="IBM Plex Sans" w:cs="IBM Plex Sans"/>
          <w:color w:val="000000" w:themeColor="text1"/>
        </w:rPr>
      </w:pPr>
      <w:r w:rsidRPr="00C75C27">
        <w:rPr>
          <w:rFonts w:ascii="IBM Plex Sans" w:eastAsia="IBM Plex Sans" w:hAnsi="IBM Plex Sans" w:cs="IBM Plex Sans"/>
          <w:color w:val="000000" w:themeColor="text1"/>
        </w:rPr>
        <w:t>il padiglione è su due piani collegati tra loro da una rampa inclinata elicoidale di una pendenza, in alcuni tratti, intorno al 15%;</w:t>
      </w:r>
    </w:p>
    <w:p w14:paraId="64E78230" w14:textId="77777777" w:rsidR="00C75C27" w:rsidRPr="00C75C27" w:rsidRDefault="00000000" w:rsidP="00C75C27">
      <w:pPr>
        <w:pStyle w:val="Paragrafoelenco"/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348" w:lineRule="auto"/>
        <w:rPr>
          <w:rFonts w:ascii="IBM Plex Sans" w:eastAsia="IBM Plex Sans" w:hAnsi="IBM Plex Sans" w:cs="IBM Plex Sans"/>
          <w:color w:val="000000" w:themeColor="text1"/>
        </w:rPr>
      </w:pPr>
      <w:r w:rsidRPr="00C75C27">
        <w:rPr>
          <w:rFonts w:ascii="IBM Plex Sans" w:eastAsia="IBM Plex Sans" w:hAnsi="IBM Plex Sans" w:cs="IBM Plex Sans"/>
          <w:color w:val="000000" w:themeColor="text1"/>
        </w:rPr>
        <w:t>il fondo della rampa è antiscivolo e la rampa è dotata di pianerottoli che ne interrompono i tratti in</w:t>
      </w:r>
      <w:r w:rsidRPr="00C75C27">
        <w:rPr>
          <w:rFonts w:ascii="IBM Plex Sans" w:eastAsia="IBM Plex Sans" w:hAnsi="IBM Plex Sans" w:cs="IBM Plex Sans"/>
          <w:color w:val="000000" w:themeColor="text1"/>
        </w:rPr>
        <w:br/>
        <w:t>pendenza;</w:t>
      </w:r>
    </w:p>
    <w:p w14:paraId="3B8FDCB6" w14:textId="77777777" w:rsidR="00C75C27" w:rsidRPr="00C75C27" w:rsidRDefault="00000000" w:rsidP="00C75C27">
      <w:pPr>
        <w:pStyle w:val="Paragrafoelenco"/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348" w:lineRule="auto"/>
        <w:rPr>
          <w:rFonts w:ascii="IBM Plex Sans" w:eastAsia="IBM Plex Sans" w:hAnsi="IBM Plex Sans" w:cs="IBM Plex Sans"/>
          <w:color w:val="000000" w:themeColor="text1"/>
        </w:rPr>
      </w:pPr>
      <w:r w:rsidRPr="00C75C27">
        <w:rPr>
          <w:rFonts w:ascii="IBM Plex Sans" w:eastAsia="IBM Plex Sans" w:hAnsi="IBM Plex Sans" w:cs="IBM Plex Sans"/>
          <w:color w:val="000000" w:themeColor="text1"/>
        </w:rPr>
        <w:t>si accede al padiglione attraverso una porta a vetri manuale, larga 190 centimetri, che viene aperta dal</w:t>
      </w:r>
      <w:r w:rsidRPr="00C75C27">
        <w:rPr>
          <w:rFonts w:ascii="IBM Plex Sans" w:eastAsia="IBM Plex Sans" w:hAnsi="IBM Plex Sans" w:cs="IBM Plex Sans"/>
          <w:color w:val="000000" w:themeColor="text1"/>
        </w:rPr>
        <w:br/>
        <w:t>personale all’inizio di ogni turno;</w:t>
      </w:r>
    </w:p>
    <w:p w14:paraId="408744E8" w14:textId="77777777" w:rsidR="00C75C27" w:rsidRPr="00C75C27" w:rsidRDefault="00000000" w:rsidP="00C75C27">
      <w:pPr>
        <w:pStyle w:val="Paragrafoelenco"/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348" w:lineRule="auto"/>
        <w:rPr>
          <w:rFonts w:ascii="IBM Plex Sans" w:eastAsia="IBM Plex Sans" w:hAnsi="IBM Plex Sans" w:cs="IBM Plex Sans"/>
          <w:color w:val="000000" w:themeColor="text1"/>
        </w:rPr>
      </w:pPr>
      <w:r w:rsidRPr="00C75C27">
        <w:rPr>
          <w:rFonts w:ascii="IBM Plex Sans" w:eastAsia="IBM Plex Sans" w:hAnsi="IBM Plex Sans" w:cs="IBM Plex Sans"/>
          <w:color w:val="000000" w:themeColor="text1"/>
        </w:rPr>
        <w:t>il bancone del padiglione è alto 83 centimetri;</w:t>
      </w:r>
    </w:p>
    <w:p w14:paraId="1AB1C34D" w14:textId="77777777" w:rsidR="00C75C27" w:rsidRPr="00C75C27" w:rsidRDefault="00000000" w:rsidP="00C75C27">
      <w:pPr>
        <w:pStyle w:val="Paragrafoelenco"/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348" w:lineRule="auto"/>
        <w:rPr>
          <w:rFonts w:ascii="IBM Plex Sans" w:eastAsia="IBM Plex Sans" w:hAnsi="IBM Plex Sans" w:cs="IBM Plex Sans"/>
          <w:color w:val="000000" w:themeColor="text1"/>
        </w:rPr>
      </w:pPr>
      <w:r w:rsidRPr="00C75C27">
        <w:rPr>
          <w:rFonts w:ascii="IBM Plex Sans" w:eastAsia="IBM Plex Sans" w:hAnsi="IBM Plex Sans" w:cs="IBM Plex Sans"/>
          <w:color w:val="000000" w:themeColor="text1"/>
        </w:rPr>
        <w:t>lo spazio di passaggio minore all’interno dell’intero padiglione è pari a 90 centimetri;</w:t>
      </w:r>
    </w:p>
    <w:p w14:paraId="3D934F5C" w14:textId="77777777" w:rsidR="00C75C27" w:rsidRPr="00C75C27" w:rsidRDefault="00000000" w:rsidP="00C75C27">
      <w:pPr>
        <w:pStyle w:val="Paragrafoelenco"/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348" w:lineRule="auto"/>
        <w:rPr>
          <w:rFonts w:ascii="IBM Plex Sans" w:eastAsia="IBM Plex Sans" w:hAnsi="IBM Plex Sans" w:cs="IBM Plex Sans"/>
          <w:color w:val="000000" w:themeColor="text1"/>
        </w:rPr>
      </w:pPr>
      <w:r w:rsidRPr="00C75C27">
        <w:rPr>
          <w:rFonts w:ascii="IBM Plex Sans" w:eastAsia="IBM Plex Sans" w:hAnsi="IBM Plex Sans" w:cs="IBM Plex Sans"/>
          <w:color w:val="000000" w:themeColor="text1"/>
        </w:rPr>
        <w:t>i due piani del padiglione non presentano ulteriori dislivelli interni;</w:t>
      </w:r>
    </w:p>
    <w:p w14:paraId="6A970231" w14:textId="3F1256A8" w:rsidR="00960CE5" w:rsidRPr="00C75C27" w:rsidRDefault="00000000" w:rsidP="00C75C27">
      <w:pPr>
        <w:pStyle w:val="Paragrafoelenco"/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348" w:lineRule="auto"/>
        <w:rPr>
          <w:rFonts w:ascii="IBM Plex Sans" w:eastAsia="IBM Plex Sans" w:hAnsi="IBM Plex Sans" w:cs="IBM Plex Sans"/>
          <w:color w:val="000000" w:themeColor="text1"/>
        </w:rPr>
      </w:pPr>
      <w:r w:rsidRPr="00C75C27">
        <w:rPr>
          <w:rFonts w:ascii="IBM Plex Sans" w:eastAsia="IBM Plex Sans" w:hAnsi="IBM Plex Sans" w:cs="IBM Plex Sans"/>
          <w:color w:val="000000" w:themeColor="text1"/>
        </w:rPr>
        <w:t>giochi e installazioni del piano terra, qualora posti su piattaforme, sono dotati di rampe in metallo con</w:t>
      </w:r>
      <w:r w:rsidR="00C75C27" w:rsidRPr="00C75C27">
        <w:rPr>
          <w:rFonts w:ascii="IBM Plex Sans" w:eastAsia="IBM Plex Sans" w:hAnsi="IBM Plex Sans" w:cs="IBM Plex Sans"/>
          <w:color w:val="000000" w:themeColor="text1"/>
        </w:rPr>
        <w:t xml:space="preserve"> </w:t>
      </w:r>
      <w:r w:rsidRPr="00C75C27">
        <w:rPr>
          <w:rFonts w:ascii="IBM Plex Sans" w:eastAsia="IBM Plex Sans" w:hAnsi="IBM Plex Sans" w:cs="IBM Plex Sans"/>
          <w:color w:val="000000" w:themeColor="text1"/>
        </w:rPr>
        <w:t>pendenza massima del 12%, con corrimano e cordoli di protezione.</w:t>
      </w:r>
    </w:p>
    <w:p w14:paraId="3E3BFF45" w14:textId="77777777" w:rsidR="00960CE5" w:rsidRDefault="00960CE5"/>
    <w:sectPr w:rsidR="00960CE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800A52" w14:textId="77777777" w:rsidR="005C00DF" w:rsidRDefault="005C00DF">
      <w:r>
        <w:separator/>
      </w:r>
    </w:p>
  </w:endnote>
  <w:endnote w:type="continuationSeparator" w:id="0">
    <w:p w14:paraId="74D83258" w14:textId="77777777" w:rsidR="005C00DF" w:rsidRDefault="005C0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52BF17C6-3966-5043-8798-655F9B0298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4688428-DDA1-9149-86CA-CF350A3FFD7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BDDFCE50-E28B-394A-B08B-E18375A0F85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FAA96EB4-D94B-C840-9E8A-5440EDAD057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5B0D4530-0358-E24A-A732-5485746AD576}"/>
    <w:embedBold r:id="rId6" w:fontKey="{CDCC8ABE-D57E-3944-B251-47C3D31918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CCFB080-3938-B94E-9279-3E18C3EBF1D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C3FC545-183C-6442-8D3B-7D89207921F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7DFBC448-BD2F-DD45-9B2E-448F567714D5}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  <w:embedRegular r:id="rId10" w:fontKey="{3712E3FC-BDCE-DE43-95F0-2D27A773E10C}"/>
    <w:embedBold r:id="rId11" w:fontKey="{771DC955-AC27-764A-AC53-3C2859CBA3E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EEC62" w14:textId="77777777" w:rsidR="00960CE5" w:rsidRDefault="00960CE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AA730" w14:textId="77777777" w:rsidR="00960CE5" w:rsidRDefault="00960CE5">
    <w:pPr>
      <w:pBdr>
        <w:top w:val="nil"/>
        <w:left w:val="nil"/>
        <w:bottom w:val="nil"/>
        <w:right w:val="nil"/>
        <w:between w:val="nil"/>
      </w:pBdr>
      <w:spacing w:after="80"/>
      <w:rPr>
        <w:rFonts w:ascii="Cambria" w:eastAsia="Cambria" w:hAnsi="Cambria" w:cs="Cambria"/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3420B" w14:textId="77777777" w:rsidR="00960CE5" w:rsidRDefault="00960CE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449253" w14:textId="77777777" w:rsidR="005C00DF" w:rsidRDefault="005C00DF">
      <w:r>
        <w:separator/>
      </w:r>
    </w:p>
  </w:footnote>
  <w:footnote w:type="continuationSeparator" w:id="0">
    <w:p w14:paraId="381BDF83" w14:textId="77777777" w:rsidR="005C00DF" w:rsidRDefault="005C00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32D03" w14:textId="77777777" w:rsidR="00960CE5" w:rsidRDefault="00960CE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FE85D" w14:textId="77777777" w:rsidR="00960C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6CFF0908" wp14:editId="0F0A5DF6">
          <wp:extent cx="2783598" cy="691853"/>
          <wp:effectExtent l="0" t="0" r="0" b="0"/>
          <wp:docPr id="7" name="image1.jpg" descr="Logo explora &#10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explora &#10;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83598" cy="6918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0DD39" w14:textId="77777777" w:rsidR="00960CE5" w:rsidRDefault="00960CE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1509B"/>
    <w:multiLevelType w:val="hybridMultilevel"/>
    <w:tmpl w:val="259E6FA2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2060B4F"/>
    <w:multiLevelType w:val="hybridMultilevel"/>
    <w:tmpl w:val="10FCE5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B70896"/>
    <w:multiLevelType w:val="hybridMultilevel"/>
    <w:tmpl w:val="A2F4E1DE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BD50CEC"/>
    <w:multiLevelType w:val="hybridMultilevel"/>
    <w:tmpl w:val="BC3A898C"/>
    <w:lvl w:ilvl="0" w:tplc="0410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" w15:restartNumberingAfterBreak="0">
    <w:nsid w:val="3FEE4AA0"/>
    <w:multiLevelType w:val="hybridMultilevel"/>
    <w:tmpl w:val="676E7B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ED6953"/>
    <w:multiLevelType w:val="multilevel"/>
    <w:tmpl w:val="AB2896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2EF11CD"/>
    <w:multiLevelType w:val="hybridMultilevel"/>
    <w:tmpl w:val="D66A3A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2D362B"/>
    <w:multiLevelType w:val="hybridMultilevel"/>
    <w:tmpl w:val="7BAE60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2614507">
    <w:abstractNumId w:val="5"/>
  </w:num>
  <w:num w:numId="2" w16cid:durableId="1638878037">
    <w:abstractNumId w:val="4"/>
  </w:num>
  <w:num w:numId="3" w16cid:durableId="323360432">
    <w:abstractNumId w:val="1"/>
  </w:num>
  <w:num w:numId="4" w16cid:durableId="870454120">
    <w:abstractNumId w:val="2"/>
  </w:num>
  <w:num w:numId="5" w16cid:durableId="1046028259">
    <w:abstractNumId w:val="7"/>
  </w:num>
  <w:num w:numId="6" w16cid:durableId="957490645">
    <w:abstractNumId w:val="0"/>
  </w:num>
  <w:num w:numId="7" w16cid:durableId="438765714">
    <w:abstractNumId w:val="6"/>
  </w:num>
  <w:num w:numId="8" w16cid:durableId="11153647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CE5"/>
    <w:rsid w:val="005C00DF"/>
    <w:rsid w:val="00960CE5"/>
    <w:rsid w:val="00B04B77"/>
    <w:rsid w:val="00C75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29F2B05"/>
  <w15:docId w15:val="{374AA8D6-B50E-0D44-BC41-A974A4176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link w:val="PidipaginaCarattere"/>
    <w:uiPriority w:val="99"/>
    <w:unhideWhenUsed/>
    <w:rsid w:val="0017158E"/>
    <w:pPr>
      <w:spacing w:after="80"/>
    </w:pPr>
    <w:rPr>
      <w:rFonts w:asciiTheme="minorHAnsi" w:eastAsia="Times New Roman" w:hAnsiTheme="minorHAnsi" w:cs="Times New Roman"/>
      <w:sz w:val="18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7158E"/>
    <w:rPr>
      <w:rFonts w:asciiTheme="minorHAnsi" w:eastAsia="Times New Roman" w:hAnsiTheme="minorHAnsi" w:cs="Times New Roman"/>
      <w:sz w:val="18"/>
      <w:szCs w:val="22"/>
      <w:lang w:eastAsia="en-US"/>
    </w:rPr>
  </w:style>
  <w:style w:type="table" w:styleId="Grigliatabella">
    <w:name w:val="Table Grid"/>
    <w:basedOn w:val="Tabellanormale"/>
    <w:rsid w:val="0017158E"/>
    <w:pPr>
      <w:spacing w:after="80"/>
    </w:pPr>
    <w:rPr>
      <w:rFonts w:asciiTheme="minorHAnsi" w:eastAsia="Times New Roman" w:hAnsiTheme="minorHAns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rmazionidicontatto">
    <w:name w:val="Informazioni di contatto"/>
    <w:uiPriority w:val="7"/>
    <w:qFormat/>
    <w:rsid w:val="0017158E"/>
    <w:pPr>
      <w:spacing w:after="80"/>
      <w:jc w:val="right"/>
    </w:pPr>
    <w:rPr>
      <w:rFonts w:asciiTheme="minorHAnsi" w:eastAsia="Times New Roman" w:hAnsiTheme="minorHAnsi" w:cs="Times New Roman"/>
      <w:caps/>
      <w:sz w:val="18"/>
      <w:szCs w:val="22"/>
      <w:lang w:eastAsia="en-US"/>
    </w:rPr>
  </w:style>
  <w:style w:type="paragraph" w:styleId="Intestazione">
    <w:name w:val="header"/>
    <w:link w:val="IntestazioneCarattere"/>
    <w:uiPriority w:val="99"/>
    <w:unhideWhenUsed/>
    <w:rsid w:val="0017158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595959" w:themeColor="text1" w:themeTint="A6"/>
      <w:kern w:val="20"/>
      <w:sz w:val="20"/>
      <w:szCs w:val="20"/>
      <w:lang w:eastAsia="ja-JP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7158E"/>
    <w:rPr>
      <w:rFonts w:asciiTheme="minorHAnsi" w:eastAsiaTheme="minorHAnsi" w:hAnsiTheme="minorHAnsi" w:cstheme="minorBidi"/>
      <w:color w:val="595959" w:themeColor="text1" w:themeTint="A6"/>
      <w:kern w:val="20"/>
      <w:sz w:val="20"/>
      <w:szCs w:val="20"/>
      <w:lang w:eastAsia="ja-JP"/>
    </w:rPr>
  </w:style>
  <w:style w:type="character" w:styleId="Collegamentoipertestuale">
    <w:name w:val="Hyperlink"/>
    <w:basedOn w:val="Carpredefinitoparagrafo"/>
    <w:uiPriority w:val="99"/>
    <w:semiHidden/>
    <w:unhideWhenUsed/>
    <w:rsid w:val="001265BD"/>
    <w:rPr>
      <w:color w:val="0563C1"/>
      <w:u w:val="singl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C75C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Ow7tgifFXUih9OK5bWIlPJe1mw==">CgMxLjA4AHIhMWhJMGhCVzAzWG5UU2pjM195dmg1aUdpOWFLWkpILUZ1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10D04D5-8BC1-7649-A7F9-EEA56FFF6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601</Words>
  <Characters>3432</Characters>
  <Application>Microsoft Office Word</Application>
  <DocSecurity>0</DocSecurity>
  <Lines>28</Lines>
  <Paragraphs>8</Paragraphs>
  <ScaleCrop>false</ScaleCrop>
  <Company/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Alessandra Arcella</cp:lastModifiedBy>
  <cp:revision>2</cp:revision>
  <dcterms:created xsi:type="dcterms:W3CDTF">2024-01-23T11:25:00Z</dcterms:created>
  <dcterms:modified xsi:type="dcterms:W3CDTF">2026-03-04T11:33:00Z</dcterms:modified>
</cp:coreProperties>
</file>